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порядок присвоєння та зміни поштових адрес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об’єктам нерухомого майна на території Срібнянської селищної ради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ПОЛОЖЕННЯ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1.Положення про порядок присвоєння та зміни поштових адрес об’єктам нерухомого майна на території Срібнянської селищної ради (далі – Порядок) встановлює єдиний функціональний механізм надання поштових адрес, закріплює основні принципи присвоєння адрес, їх зміни та анулювання.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 діє на території Срібнянської селищної ради і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обов’язковим для виконання усіма розташованими на його території підприємствами, установами та організаціями, громадськими об’єднаннями, посадовими особами та громадянами, які постійно або тимчасово проживають на відповідній території. </w:t>
      </w:r>
    </w:p>
    <w:p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1.3. Кожному об’єкту нерухомості присвоюється унікальна адреса на території певного населеного пункту.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1.4. Адреси присвоюються за заявами фізичних або юридичних осіб – власників об’єктів нерухомості, інших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правонабувачів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, у яких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виникло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право господарського відання або оперативного управління, спадкоємців (у разі зміни адреси об’єкта нерухомості, речові права на який входять до складу спадщини), відповідних органів місцевого самоврядування, а також органів державної виконавчої влади щодо об’єктів нерухомості державної власності (далі — заявники).</w:t>
      </w: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1.5. Присвоєння, зміна, анулювання адреси (по господарського номеру) об’єктів нерухомості здійснюється на підставі рішення виконавчого комітету селищної ради (далі - Виконавчого комітету).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мети цього Положення наведені в ньому терміни вживаються в таких значеннях: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2. ВИЗНАЧЕННЯ ТЕРМІНІВ</w:t>
      </w:r>
    </w:p>
    <w:p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Відповідно до мети цього Положення наведені в ньому терміни вживаються в таких значеннях: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дреса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(поштова адреса)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ідентифікатор об’єкта нерухомого майна (за критеріями його місцезнаходження);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Елементи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вулично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-дорожньої мережі</w:t>
      </w:r>
      <w:r>
        <w:rPr>
          <w:rFonts w:ascii="Times New Roman" w:eastAsia="Times New Roman" w:hAnsi="Times New Roman" w:cs="Times New Roman"/>
          <w:sz w:val="28"/>
          <w:szCs w:val="28"/>
        </w:rPr>
        <w:t> – явно виражені частини території населеного пункту, що забезпечують транспортні і пішохідні зв'язки між житловими районами, а також між житловими районами і промисловими зонами, суспільними центрами, кварталами, наступних типів: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дорога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смуга землі, призначена для руху транспорту і пішоходів. Є фрагментом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-дорожньої мережі села, селища;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вулиця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(вул.)</w:t>
      </w:r>
      <w:r>
        <w:rPr>
          <w:rFonts w:ascii="Times New Roman" w:eastAsia="Times New Roman" w:hAnsi="Times New Roman" w:cs="Times New Roman"/>
          <w:sz w:val="28"/>
          <w:szCs w:val="28"/>
        </w:rPr>
        <w:t> – дорога, що мас забудову з обох боків, і, як правило, має довжину більше, ніж один квартал;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ровулок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sz w:val="28"/>
          <w:szCs w:val="28"/>
        </w:rPr>
        <w:t> – дорога, з двобічною забудовою, що з'єднує дві, чи більше, вулиці та має довжину у один-два, іноді більше, квартали;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роїзд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-д.)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дорога, з двобічною забудовою, що з'єднує дві, чи більше, вулиці, те саме що й провулок. Проїздами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найменовують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правило,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елементи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-дорожньої мережі з рідкою, нерегулярною чи нежилою (промисловою) забудовою;</w:t>
      </w:r>
    </w:p>
    <w:p>
      <w:pPr>
        <w:shd w:val="clear" w:color="auto" w:fill="FFFFFF"/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площа</w:t>
      </w:r>
      <w:r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 – широка площина серед забудови населеного пункту, вулиці чи на стику двох, або більше вулиць; ширина цієї площини суттєво більше ширини суміжної вулиці (вулиць);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упик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(туп.)</w:t>
      </w:r>
      <w:r>
        <w:rPr>
          <w:rFonts w:ascii="Times New Roman" w:eastAsia="Calibri" w:hAnsi="Times New Roman" w:cs="Times New Roman"/>
          <w:sz w:val="28"/>
          <w:szCs w:val="28"/>
        </w:rPr>
        <w:t> – відтинок дороги з забудовою в середині кварталу, як правило, не має наскрізного проїзду.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Об'єкти нерухомого майна (далі об'єкти нерухомості)</w:t>
      </w:r>
      <w:r>
        <w:rPr>
          <w:rFonts w:ascii="Times New Roman" w:eastAsia="Calibri" w:hAnsi="Times New Roman" w:cs="Times New Roman"/>
          <w:sz w:val="28"/>
          <w:szCs w:val="28"/>
        </w:rPr>
        <w:t> – земельні ділянки, а також об'єкти, розташовані на земельній ділянці (будівля, споруда тощо), переміщення яких є неможливим без знецінення та зміни їх призначення.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Будівля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об'єкт нерухомості: житлові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нежилові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будинки, призначені для проживання або повсякденного використання.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Житловий будинок</w:t>
      </w:r>
      <w:r>
        <w:rPr>
          <w:rFonts w:ascii="Times New Roman" w:eastAsia="Calibri" w:hAnsi="Times New Roman" w:cs="Times New Roman"/>
          <w:sz w:val="28"/>
          <w:szCs w:val="28"/>
        </w:rPr>
        <w:t> – будівля капітального типу, призначена для проживання фізичних осіб.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Квартира – </w:t>
      </w:r>
      <w:r>
        <w:rPr>
          <w:rFonts w:ascii="Times New Roman" w:eastAsia="Calibri" w:hAnsi="Times New Roman" w:cs="Times New Roman"/>
          <w:sz w:val="28"/>
          <w:szCs w:val="28"/>
        </w:rPr>
        <w:t>ізольоване помешкання в жилому будинку, призначене для проживання фізичних осіб.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Споруда</w:t>
      </w:r>
      <w:r>
        <w:rPr>
          <w:rFonts w:ascii="Times New Roman" w:eastAsia="Calibri" w:hAnsi="Times New Roman" w:cs="Times New Roman"/>
          <w:sz w:val="28"/>
          <w:szCs w:val="28"/>
        </w:rPr>
        <w:t> – будівля, призначена в основному для технологічних функцій.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Земельна ділянка</w:t>
      </w:r>
      <w:r>
        <w:rPr>
          <w:rFonts w:ascii="Times New Roman" w:eastAsia="Calibri" w:hAnsi="Times New Roman" w:cs="Times New Roman"/>
          <w:sz w:val="28"/>
          <w:szCs w:val="28"/>
        </w:rPr>
        <w:t> – частина поверхні землі, межі якої описані і засвідчені у встановленому порядку.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Домоволодіння</w:t>
      </w:r>
      <w:r>
        <w:rPr>
          <w:rFonts w:ascii="Times New Roman" w:eastAsia="Calibri" w:hAnsi="Times New Roman" w:cs="Times New Roman"/>
          <w:sz w:val="28"/>
          <w:szCs w:val="28"/>
        </w:rPr>
        <w:t> – два і більше жилих будинків, з належними до них надвірними будівлями чи спорудами (чи без них), яким надана єдина адреса.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Власники об’єктів нерухомого майна</w:t>
      </w:r>
      <w:r>
        <w:rPr>
          <w:rFonts w:ascii="Times New Roman" w:eastAsia="Calibri" w:hAnsi="Times New Roman" w:cs="Times New Roman"/>
          <w:sz w:val="28"/>
          <w:szCs w:val="28"/>
        </w:rPr>
        <w:t> – юридичні та фізичні особи, у тому числі фізичні особи – підприємці.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Елемент адреси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реквізит, що описує місце розташування об'єкта нерухомості на території </w:t>
      </w:r>
      <w:r>
        <w:rPr>
          <w:rFonts w:ascii="Times New Roman" w:eastAsia="Times New Roman" w:hAnsi="Times New Roman" w:cs="Times New Roman"/>
          <w:sz w:val="28"/>
          <w:szCs w:val="28"/>
        </w:rPr>
        <w:t>села, селища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Номер будинку, споруди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 – реквізит адреси об'єкта адресації, що складається з послідовності цифр із можливим додаванням буквеної літери (а, б, в, г 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Кадастровий номер земельної ділянки</w:t>
      </w:r>
      <w:r>
        <w:rPr>
          <w:rFonts w:ascii="Times New Roman" w:eastAsia="Calibri" w:hAnsi="Times New Roman" w:cs="Times New Roman"/>
          <w:sz w:val="28"/>
          <w:szCs w:val="28"/>
        </w:rPr>
        <w:t> – унікальний номер, який присвоюється при формуванні земельної ділянки та зберігається за нею на весь час її існування.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Кадастровий номер об'єкта нерухомості</w:t>
      </w:r>
      <w:r>
        <w:rPr>
          <w:rFonts w:ascii="Times New Roman" w:eastAsia="Calibri" w:hAnsi="Times New Roman" w:cs="Times New Roman"/>
          <w:sz w:val="28"/>
          <w:szCs w:val="28"/>
        </w:rPr>
        <w:t> – унікальний номер об'єкта нерухомості, який присвоюється йому при здійсненні інвентаризації, і зберігається, поки об'єкт нерухомості існує як єдиний об'єкт зареєстрованого права.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Присвоєння адреси (адресація) об'єкту нерухомості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процедура присвоєння порядкового номеру об'єкту нерухомості на пойменованому елементі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вулично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-дорожньої мережі.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Зміна адреси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переприсвоєння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адреси у зв'язку з перейменуванням елементів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вулично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-дорожньої мережі </w:t>
      </w:r>
      <w:r>
        <w:rPr>
          <w:rFonts w:ascii="Times New Roman" w:eastAsia="Times New Roman" w:hAnsi="Times New Roman" w:cs="Times New Roman"/>
          <w:sz w:val="28"/>
          <w:szCs w:val="28"/>
        </w:rPr>
        <w:t>села, селища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або зміною інших реквізитів адреси.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Анулювання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скасування, оголошення недійсним якого-небудь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договору або прав.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Впорядкування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процедура присвоєння поштової адреси в зв’язку з виявленими помилками,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невідповідностями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іншими недоліками.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Заявники – </w:t>
      </w:r>
      <w:r>
        <w:rPr>
          <w:rFonts w:ascii="Times New Roman" w:eastAsia="Calibri" w:hAnsi="Times New Roman" w:cs="Times New Roman"/>
          <w:sz w:val="28"/>
          <w:szCs w:val="28"/>
        </w:rPr>
        <w:t>фізичні та юридичні особи власники об’єктів нерухомого майна, а також органи державної виконавчої влади та органи місцевого самоврядування.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 Інші терміни вживаються у цьому Положенні у значенні, наведеному в Законі України «Про державну реєстрацію речових прав па нерухоме майно та їх обтяжень» та інших нормативно-правових актах, прийнятих відповідно до зазначеного Закону.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3. ПОРЯДОК ПРИСВОЄННЯ АДРЕСИ ОБ’ЄКТАМ НЕРУХОМОСТІ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ТА РОЗГЛЯД ДОКУМЕНТІВ</w:t>
      </w:r>
    </w:p>
    <w:p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присвоєння, зміни, анулювання поштових адрес об'єктам нерухомості заявник  звертається до виконавчого комітету селищної ради з заявою та відповідним пакетом документів.</w:t>
      </w:r>
    </w:p>
    <w:p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 3.2.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заяви про присвоєння поштової адреси об’єкту нерухомості  додаються такі документи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- для фізичної особи – копія паспорта, ідентифікаційний номер;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- для юридичної особи та фізичної особи підприємця – копія свідоцтва про державну реєстрацію;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- документи, що підтверджують право власності або користування земельною ділянкою;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копія правовстановлюючого документа, який підтверджує право власності заявника на об’єкт нерухомого майна (протокол загальних зборів співвласників майнових паїв колишнього сільськогосподарського підприємства про виділення в натурі об’єкта, акт передачі об’єкта нерухомого майна від спілки співвласників громадянину чи юридичній особі, технічний паспорт на об’єкт нерухомого майна, тощо);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документ, що засвідчує відповідність закінченого будівництва об’єкта проектній документації, державним будівельним нормам, стандартам і правилам (декларацію про закінчення будівництва та введення його в експлуатацію – у випадках присвоєння поштової адреси новозбудованим об’єктам нерухомого майна);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копія   правовстановлюючого   документу,   який   посвідчує    право користування або власності на земельну ділянку (з відповідним цільовим призначенням), засвідченого нотаріально;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- довідка   комунального   підприємства   «Прилуцьке   міжміське   бюро технічної інвентаризації» Чернігівської обласної ради щодо відсутності вже зареєстрованого у об’єкта нерухомого майна 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яку передбачається присвоїти (у випадках присвоєння поштової адреси новозбудованим об’єктам нерухомого майна).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b/>
          <w:sz w:val="28"/>
          <w:szCs w:val="28"/>
        </w:rPr>
        <w:t xml:space="preserve"> До заяви щодо поділу чи виділу об'єкта нерухомого майна, об'єднання об'єктів нерухомого майна, внаслідок чого утворюється окремий об'єкт нерухомості, та у випадку необхідності впорядкування поштових адрес існуючих об'єктів нерухомості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додаються такі документи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 для фізичної особи – копія паспорта, ідентифікаційний номер;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 для юридичної особи та фізичної особи підприємця – копія свідоцтва про державну реєстрацію;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копія документа, що свідчить про прийняття реконструйованого об’єкта в експлуатацію;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документи, що підтверджують право власності або користування земельною ділянкою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копія правовстановлюючого документа, який підтверджує право власності заявника на об’єкт нерухомого майна;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оновлений технічний паспорт на об’єкт нерухомості;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висновок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комунального   підприємства   «Прилуцьке   міжміське   бюро технічної інвентаризації» Чернігівської обласної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щодо технічної можливості виділу в натурі частки об’єкта нерухомого майна (за необхідності);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фотофіксація об’єкта нерухомості;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довідка   комунального   підприємства   «Прилуцьке   міжміське   бюро технічної інвентаризації» Чернігівської обласної ради щодо відсутності зареєстрованого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об'єкта нерухомого майна за запропонованою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присвоєння адресного номера земельній ділянці цільове призначення – для будівництва і обслуговування житлового будинку, господарських будівель і споруд (присадибна ділянка)  до заяви додаються: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копія паспорта, довідки про присвоєння ідентифікаційного номера, посвідчена нотаріально довіреність (для уповноважених осіб);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копія документа, що  підтверджує  право власності або право користування земельною ділянкою з кадастровим номером чи рішення органу  місцевого самоврядування про надання земельної ділянки у користування з відповідним цільовим призначенням;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копія нотаріально посвідченого договору про поділ земельної ділянки, що перебуває у власності, чи рішення суду про визначення порядку користування земельною ділянкою;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довідка   комунального   підприємства   «Прилуцьке   міжміське   бюро технічної інвентаризації» Чернігівської обласної ради щодо відсутності зареєстрованого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об'єкта нерухомого майна за запропонованою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внесення змін до поштової адреси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об'єкта нерухомого майна, внаслідок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перейменування вулиць, поділ об'єктів нерухомості на самостійні частини, об'єднання об'єктів, упорядкування елементів забудови, тощо, до заяви додаються: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фізичної особи – копія паспорта, ідентифікаційний номер;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юридичної особи та фізичної особи підприємця – копія свідоцтва про державну реєстрацію;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копія правовстановлюючих документів, що посвідчують право власності на об'єкт нерухомого майна;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документи, що засвідчують відповідність закінченого реконструкцією об'єкту проектній документації, державним будівельним нормам, стандартам і правилам (сертифікат відповідності, декларація тощо);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документи, що підтверджують право власності або користування земельною ділянкою (за наявності);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технічний паспорт на об’єкт нерухомого майна;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інформація щодо можливості зміни адреси об'єкта;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інші документи у разі необхідності.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 3.6.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анулювання поштової адреси </w:t>
      </w:r>
      <w:r>
        <w:rPr>
          <w:rFonts w:ascii="Times New Roman" w:hAnsi="Times New Roman" w:cs="Times New Roman"/>
          <w:b/>
          <w:sz w:val="28"/>
          <w:szCs w:val="28"/>
        </w:rPr>
        <w:t>об'єкта нерухомого майна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результаті повного руйнування (ліквідації) самого об'єкта, скасування рішень про надання земельних ділянок, розподілу об'єкта на самостійні частини з присвоєнням кожній частині нових адрес, тощо, до заяви додаються: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фізичної особи – копія паспорта, ідентифікаційний номер;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юридичної особи та фізичної особи підприємця – копія свідоцтва про державну реєстрацію;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копія правовстановлюючих документів, що посвідчують право власності на об'єкт нерухомого майна;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документи що підтверджують право власності або користування земельною ділянкою (за наявності);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інформація про знесення (руйнуванні) будівлі і зняття її з технічного обліку або про розділ інвентарної справи на частини у зв'язку з присвоєнням кожній частині будівлі різних адрес;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фотофіксація об'єкта;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інші документи у разі необхідності.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3.7. Останній термін подання заяв на присвоєння поштової адреси становить 5 (п’ять) робочих днів до дати засідання виконавчого комітету.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3.8. Керуючий справами (секретар) виконавчого комітету розглядає заяви про присвоєння, зміну або анулювання поштової адреси та готує відповідний проект рішення виконавчого комітету селищної ради.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3.9. Розгляд звернень та підготовка проектів рішення виконкому селищної ради проводиться відповідно до вимог чинного законодавства (згідно ЗУ «Про звернення громадян»)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3.10.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Розгляд звернень та підготовка проектів рішень Виконавчого комітету проводиться у термін, який з дня отримання звернення не повинен перевищувати 30 календарних днів (у разі наявності всіх документів).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3.11. У випадку відсутності або подання неповного пакету документів, зазначених у цьому Положенні, заявнику надається письмова відповідь із встановленням терміну надання таких документів або мотивована відмова щодо неможливості присвоєння чи зміни адреси.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3.12. Рішення Виконавчого комітету, або витяги з рішень стосовно питання, порушеного заявниками, видаються не пізніше ніж через 5 днів після прийняття відповідного рішення.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4. ВИДИ АДРЕС ТА ОСОБЛИВОСТІ ЇХ ПРИСВОЄННЯ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4.1. Присвоєння та зміна поштових адрес (поділ з присвоєнням окремого поштового номера) об’єктам нерухомого майна здійснюється шляхом прийняття відповідних рішень Виконавчим комітетом.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4.2. Присвоєння адреси об’єктам нерухомості, що утворюють безупинний фронт забудови, здійснюється з непарними номерами по лівій стороні вулиці і з парними номерами - по правій.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4.3. Об’єктам нерухомості, що знаходяться на перетині вулиць присвоюється адреса по вулиці, на яку виходить головний фасад цього об’єкта.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lastRenderedPageBreak/>
        <w:t>4.4. Надання адреси об’єктам нерухомості, розташованим між двома іншими об’єктами з послідовними адресними номерами, проводиться з використанням меншого номера об’єкта з додаванням до нього літери від А до Я (наприклад 20-А).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4.5. Для належного визначення поштового номеру об’єкта нерухомості відповідальний спеціаліст відділу соціально-економічного розвитку, інвестицій та житлово-комунального господарства перевіряє (у разі необхідності — з виходом на місце) відповідність матеріалів і документів фактичному розташуванню об’єктів нерухомого майна та земельних ділянок.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4.6. Присвоєння поштових адрес чи їх зміна (поділ з присвоєнням окремого поштового номера) допускається об’єктам нерухомого майна (житлові будинки (садиби), адміністративні, громадські, господарські, промислові та побутові будівлі і споруди або їх частини, тощо), розташованим на земельних ділянках, які знаходяться у власності, оренді або постійному користуванні, та переміщення яких є неможливим без їх знесення та зміни їх цільового призначення, окремо виділеним земельним ділянкам для будівництва житлових і нежитлових будинків, стаціонарним тимчасовим спорудам.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4.7. Не надаються адреси наступним об’єктам нерухомого майна: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пересувним тимчасовим спорудам;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приміщенням службового, допоміжного та технічного призначення, розташованим у будівлях та житлових будинках;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інженерним мережам;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- спорудам за межами «червоних» ліній вулиць;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- малим архітектурним формам.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4.8. Відповідно до цього Положення, у залежності від виду та особливостей об’єктів нерухомого майна, присвоюються такі види адрес: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4.8.1.  Житловим будинкам, садибам, квартирам присвоюється адреса, яка складається з назви вулиці, номера будинку (садиби), та номера квартири (за наявності). Номер будинку (садиби) позначається відповідною арабською цифрою, номер квартири - відповідною арабською цифрою після слова «квартира».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Наприклад: вул. Центральна, 43,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 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4.8.2. Нежитловим будинкам, їх комплексам, окремим частинам нежитлових будинків присвоюється адреса, яка складається з назви вулиці, номера будинку об’єкта нерухомого майна та номера частини об’єкта нерухомого майна (за наявності). Номер об’єкта позначається відповідною арабською цифрою, а номер частини будинку - з вказівкою номера приміщення відповідною арабською цифрою.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Наприклад: вул. Вокзальна, 2, прим.1.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4.9. У випадках, коли на відповідній вулиці збудовано нові житлові будинки (садиби), нежитлові будинки виробничого, господарського, соціально-побутового та іншого призначення, їх комплекси, і їм, виходячи з вже наявної нумерації об’єктів нерухомого майна по вулиці, на якій вони фактично знаходяться, неможливо надати номер, який є цілим числом, такий об’єкт нерухомого майна при наданні адреси позначається номером найближчого об’єкта нерухомого майна по відповідному боці вулиці в бік зменшення з додатком літературного індексу (А, Б, В,…).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Наприклад: по вул. Центральній між будинками 20 і 22 збудовано ще один. У цьому випадку йому присвоюється адреса: вул. Центральна, 20-А.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4.10. При присвоєнні адреси об’єктам нерухомого майна використовуються наступні типи: вулиця; провулок; площа; інші (шлях, майдан, сквер тощо).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4.10.1. Вулиці зазначаються в адресі таким чином: спочатку вказується один із типів вулиці, а потім її назва. Найменування вулиць, які віднесені до типу «інші», можуть зазначатися в адресі таким чином: спочатку назва вулиці, а потім її тип. Назви вулиць, які складаються з імені та прізвища, зазначаються в адресі таким чином: спочатку ім’я, а потім прізвище.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4.10.2. Назви вулиць, які походять від псевдонімів, зазначаються в звичайному порядку.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4.10.3. Назви вулиць, які складаються із звання та прізвища, зазначаються в адресі таким чином: спочатку звання, а потім прізвище.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5. ЗАКЛЮЧНІ ПОЛОЖЕННЯ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5.1. Адреси об’єктів нерухомого майна, в тому числі і земельних ділянок, розташованих на території населених пунктів Срібнянської селищної ради, присвоєні до набрання чинності даного Положення, зберігаються та можуть бути змінені для приведення у відповідність до цього Положення за зверненням власника об’єкту.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5.2. У разі звернення власника до уповноважених органів з метою виконання дій з об’єктами нерухомого майна та виявлення невідповідності їх поштової адреси вимогам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іпотек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та Державного реєстру обтяжень рухомого майна, затвердженого наказом Міністерства юстиції України від 14.12.2012  № 1844/5, зареєстрованого в Міністерстві юстиції України 18.12. 2012 р. № 2102/22414, власник (користувач) зобов’язаний звернутися з заявою до Виконавчого комітету щодо зміни поштової адреси.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5.3. Заяви, повний пакет документів та інша інформація щодо адреси об’єктів нерухомого майна зберігаються 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Срібнянській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селищній раді в терміни згідно вимог чинного законодавства.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Спори з приводу присвоєння поштової адреси об’єктам нерухомості вирішуються в установленому законодавством порядку.</w:t>
      </w: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11439</Words>
  <Characters>6521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2019-06-27T09:22:00Z</cp:lastPrinted>
  <dcterms:created xsi:type="dcterms:W3CDTF">2019-07-01T06:50:00Z</dcterms:created>
  <dcterms:modified xsi:type="dcterms:W3CDTF">2019-07-05T09:12:00Z</dcterms:modified>
</cp:coreProperties>
</file>